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7570"/>
      </w:tblGrid>
      <w:tr w:rsidR="00696D3D" w:rsidRPr="003E5DB1">
        <w:trPr>
          <w:trHeight w:val="429"/>
        </w:trPr>
        <w:tc>
          <w:tcPr>
            <w:tcW w:w="1364" w:type="dxa"/>
          </w:tcPr>
          <w:p w:rsidR="00696D3D" w:rsidRPr="003E5DB1" w:rsidRDefault="003E5DB1" w:rsidP="003E5DB1">
            <w:pPr>
              <w:pStyle w:val="TableParagraph"/>
              <w:spacing w:before="4"/>
              <w:ind w:left="102"/>
              <w:rPr>
                <w:b/>
                <w:i/>
                <w:lang w:val="ro-RO"/>
              </w:rPr>
            </w:pPr>
            <w:r w:rsidRPr="003E5DB1">
              <w:rPr>
                <w:b/>
                <w:i/>
                <w:lang w:val="ro-RO"/>
              </w:rPr>
              <w:t>Titlul activităţii</w:t>
            </w:r>
          </w:p>
        </w:tc>
        <w:tc>
          <w:tcPr>
            <w:tcW w:w="7570" w:type="dxa"/>
          </w:tcPr>
          <w:p w:rsidR="00696D3D" w:rsidRPr="003E5DB1" w:rsidRDefault="000D190B" w:rsidP="003E5DB1">
            <w:pPr>
              <w:pStyle w:val="TableParagraph"/>
              <w:spacing w:before="4"/>
              <w:ind w:left="135"/>
              <w:rPr>
                <w:b/>
                <w:i/>
                <w:lang w:val="ro-RO"/>
              </w:rPr>
            </w:pPr>
            <w:r w:rsidRPr="003E5DB1">
              <w:rPr>
                <w:b/>
                <w:i/>
                <w:lang w:val="ro-RO"/>
              </w:rPr>
              <w:t>Descri</w:t>
            </w:r>
            <w:r w:rsidR="003E5DB1" w:rsidRPr="003E5DB1">
              <w:rPr>
                <w:b/>
                <w:i/>
                <w:lang w:val="ro-RO"/>
              </w:rPr>
              <w:t>ere</w:t>
            </w:r>
          </w:p>
        </w:tc>
      </w:tr>
      <w:tr w:rsidR="00696D3D" w:rsidRPr="003E5DB1">
        <w:trPr>
          <w:trHeight w:val="6508"/>
        </w:trPr>
        <w:tc>
          <w:tcPr>
            <w:tcW w:w="1364" w:type="dxa"/>
          </w:tcPr>
          <w:p w:rsidR="00696D3D" w:rsidRPr="003E5DB1" w:rsidRDefault="003E5DB1">
            <w:pPr>
              <w:pStyle w:val="TableParagraph"/>
              <w:spacing w:before="4" w:line="247" w:lineRule="auto"/>
              <w:ind w:left="102" w:right="126"/>
              <w:rPr>
                <w:i/>
                <w:lang w:val="ro-RO"/>
              </w:rPr>
            </w:pPr>
            <w:r w:rsidRPr="003E5DB1">
              <w:rPr>
                <w:b/>
                <w:i/>
                <w:lang w:val="ro-RO"/>
              </w:rPr>
              <w:t>Ură instant</w:t>
            </w:r>
            <w:r w:rsidR="000D190B" w:rsidRPr="003E5DB1">
              <w:rPr>
                <w:b/>
                <w:i/>
                <w:spacing w:val="8"/>
                <w:lang w:val="ro-RO"/>
              </w:rPr>
              <w:t xml:space="preserve"> </w:t>
            </w:r>
            <w:r w:rsidR="000D190B" w:rsidRPr="003E5DB1">
              <w:rPr>
                <w:i/>
                <w:lang w:val="ro-RO"/>
              </w:rPr>
              <w:t>(20-</w:t>
            </w:r>
          </w:p>
          <w:p w:rsidR="00696D3D" w:rsidRPr="003E5DB1" w:rsidRDefault="000D190B" w:rsidP="003E5DB1">
            <w:pPr>
              <w:pStyle w:val="TableParagraph"/>
              <w:spacing w:line="265" w:lineRule="exact"/>
              <w:ind w:left="102"/>
              <w:rPr>
                <w:i/>
                <w:lang w:val="ro-RO"/>
              </w:rPr>
            </w:pPr>
            <w:r w:rsidRPr="003E5DB1">
              <w:rPr>
                <w:i/>
                <w:lang w:val="ro-RO"/>
              </w:rPr>
              <w:t>30</w:t>
            </w:r>
            <w:r w:rsidRPr="003E5DB1">
              <w:rPr>
                <w:i/>
                <w:spacing w:val="25"/>
                <w:lang w:val="ro-RO"/>
              </w:rPr>
              <w:t xml:space="preserve"> </w:t>
            </w:r>
            <w:r w:rsidRPr="003E5DB1">
              <w:rPr>
                <w:i/>
                <w:lang w:val="ro-RO"/>
              </w:rPr>
              <w:t>minute</w:t>
            </w:r>
            <w:r w:rsidRPr="003E5DB1">
              <w:rPr>
                <w:i/>
                <w:lang w:val="ro-RO"/>
              </w:rPr>
              <w:t>)</w:t>
            </w:r>
          </w:p>
        </w:tc>
        <w:tc>
          <w:tcPr>
            <w:tcW w:w="7570" w:type="dxa"/>
          </w:tcPr>
          <w:p w:rsidR="003E5DB1" w:rsidRPr="003E5DB1" w:rsidRDefault="003E5DB1" w:rsidP="003E5DB1">
            <w:pPr>
              <w:pStyle w:val="TableParagraph"/>
              <w:spacing w:before="4" w:line="247" w:lineRule="auto"/>
              <w:ind w:right="85"/>
              <w:jc w:val="both"/>
              <w:rPr>
                <w:lang w:val="ro-RO"/>
              </w:rPr>
            </w:pPr>
            <w:r w:rsidRPr="003E5DB1">
              <w:rPr>
                <w:b/>
                <w:lang w:val="ro-RO"/>
              </w:rPr>
              <w:t>A Date with Discrimination</w:t>
            </w:r>
            <w:r w:rsidRPr="003E5DB1">
              <w:rPr>
                <w:lang w:val="ro-RO"/>
              </w:rPr>
              <w:t xml:space="preserve"> (O întâlnire cu discriminarea) este o activitate de diversitate</w:t>
            </w:r>
            <w:r w:rsidRPr="003E5DB1">
              <w:rPr>
                <w:vertAlign w:val="superscript"/>
                <w:lang w:val="ro-RO"/>
              </w:rPr>
              <w:t>1</w:t>
            </w:r>
            <w:r w:rsidRPr="003E5DB1">
              <w:rPr>
                <w:lang w:val="ro-RO"/>
              </w:rPr>
              <w:t xml:space="preserve"> care se găsește în baza de date Rutgers University Student Life. Această activitate a fost creată de Universitatea din Texas pentru organizațiile studențești care urmează cursuri de formare în domeniul diversității. Această activitate este destinată studenților de la facultate, dar este cu siguranță potrivită pentru a o desfășura cu elevii din gimnaziu în orice domeniu.</w:t>
            </w:r>
          </w:p>
          <w:p w:rsidR="003E5DB1" w:rsidRPr="003E5DB1" w:rsidRDefault="003E5DB1" w:rsidP="003E5DB1">
            <w:pPr>
              <w:pStyle w:val="TableParagraph"/>
              <w:spacing w:before="4" w:line="247" w:lineRule="auto"/>
              <w:ind w:right="85"/>
              <w:jc w:val="both"/>
              <w:rPr>
                <w:lang w:val="ro-RO"/>
              </w:rPr>
            </w:pPr>
            <w:r w:rsidRPr="003E5DB1">
              <w:rPr>
                <w:lang w:val="ro-RO"/>
              </w:rPr>
              <w:t>Vor exista mai multe "secțiuni de întâlniri" în întreaga sală de clasă, create prin împingerea a două birouri unul în fața celuilalt. În fiecare "secțiune de întâlnire" sunt câte doi elevi, fiecare elev având la dispoziție un profil al persoanei cu care se află la această "întâlnire". Apoi, elevii vor citi din scenariul dat, în care personajele lor interacționează unul cu celălalt. Scenariile se bazează pe întâlniri reale ale unor persoane care au avut experiențe cu sexismul, rasismul și stereotipurile.</w:t>
            </w:r>
          </w:p>
          <w:p w:rsidR="00696D3D" w:rsidRPr="003E5DB1" w:rsidRDefault="003E5DB1" w:rsidP="003E5DB1">
            <w:pPr>
              <w:pStyle w:val="TableParagraph"/>
              <w:spacing w:before="159" w:line="247" w:lineRule="auto"/>
              <w:ind w:right="87"/>
              <w:jc w:val="both"/>
              <w:rPr>
                <w:lang w:val="ro-RO"/>
              </w:rPr>
            </w:pPr>
            <w:r w:rsidRPr="003E5DB1">
              <w:rPr>
                <w:lang w:val="ro-RO"/>
              </w:rPr>
              <w:t>Această activitate este foarte cuprinzătoare și acoperă toate aspectele diferite ale inegalității. La finalul acestei activități, elevii vor simți pe propria piele cum este să fii profilat, stereotipat și tratat diferit doar din cauza culturii, sexului, statutului socio-economic sau ocupației pe care o aveau personajele lor. Activitatea are, de asemenea, numeroase scenarii din care se poate inspira, fiecare dintre ele având un clasament de la 1 la 3 în funcție de gravitatea scenei, astfel încât se poate adapta activitatea la nevoile oricărui grup demografic de elevi. De asemenea, elevii pot fi rugați să împărtășească orice experiență personală pe care au avut-o, dacă se simt confortabil, care să fie similară cu situațiile din activitate. În acest fel, elevii pot vedea că situațiile din cadrul activității sunt foarte reale și faptul că au auzit că cineva pe care îl cunosc a trecut prin ceva similar îi poate ajuta să înțeleagă importanța activității.</w:t>
            </w:r>
          </w:p>
        </w:tc>
      </w:tr>
      <w:tr w:rsidR="00696D3D" w:rsidRPr="003E5DB1">
        <w:trPr>
          <w:trHeight w:val="1292"/>
        </w:trPr>
        <w:tc>
          <w:tcPr>
            <w:tcW w:w="1364" w:type="dxa"/>
            <w:tcBorders>
              <w:bottom w:val="nil"/>
            </w:tcBorders>
          </w:tcPr>
          <w:p w:rsidR="00696D3D" w:rsidRPr="003E5DB1" w:rsidRDefault="003E5DB1">
            <w:pPr>
              <w:pStyle w:val="TableParagraph"/>
              <w:spacing w:before="6" w:line="247" w:lineRule="auto"/>
              <w:ind w:left="102"/>
              <w:rPr>
                <w:b/>
                <w:i/>
                <w:lang w:val="ro-RO"/>
              </w:rPr>
            </w:pPr>
            <w:r w:rsidRPr="003E5DB1">
              <w:rPr>
                <w:b/>
                <w:i/>
                <w:lang w:val="ro-RO"/>
              </w:rPr>
              <w:t>Cutia cu creioane colorate</w:t>
            </w:r>
          </w:p>
          <w:p w:rsidR="00696D3D" w:rsidRPr="003E5DB1" w:rsidRDefault="000D190B">
            <w:pPr>
              <w:pStyle w:val="TableParagraph"/>
              <w:spacing w:before="109"/>
              <w:ind w:left="102"/>
              <w:rPr>
                <w:i/>
                <w:lang w:val="ro-RO"/>
              </w:rPr>
            </w:pPr>
            <w:r w:rsidRPr="003E5DB1">
              <w:rPr>
                <w:i/>
                <w:lang w:val="ro-RO"/>
              </w:rPr>
              <w:t>(15-20</w:t>
            </w:r>
          </w:p>
          <w:p w:rsidR="00696D3D" w:rsidRPr="003E5DB1" w:rsidRDefault="000D190B" w:rsidP="003E5DB1">
            <w:pPr>
              <w:pStyle w:val="TableParagraph"/>
              <w:spacing w:before="8"/>
              <w:ind w:left="102"/>
              <w:rPr>
                <w:i/>
                <w:lang w:val="ro-RO"/>
              </w:rPr>
            </w:pPr>
            <w:r w:rsidRPr="003E5DB1">
              <w:rPr>
                <w:i/>
                <w:lang w:val="ro-RO"/>
              </w:rPr>
              <w:t>minute</w:t>
            </w:r>
            <w:r w:rsidRPr="003E5DB1">
              <w:rPr>
                <w:i/>
                <w:lang w:val="ro-RO"/>
              </w:rPr>
              <w:t>)</w:t>
            </w:r>
          </w:p>
        </w:tc>
        <w:tc>
          <w:tcPr>
            <w:tcW w:w="7570" w:type="dxa"/>
            <w:tcBorders>
              <w:bottom w:val="nil"/>
            </w:tcBorders>
          </w:tcPr>
          <w:p w:rsidR="003E5DB1" w:rsidRPr="003E5DB1" w:rsidRDefault="003E5DB1" w:rsidP="003E5DB1">
            <w:pPr>
              <w:pStyle w:val="TableParagraph"/>
              <w:spacing w:before="6" w:line="244" w:lineRule="auto"/>
              <w:ind w:right="91"/>
              <w:jc w:val="both"/>
              <w:rPr>
                <w:lang w:val="ro-RO"/>
              </w:rPr>
            </w:pPr>
            <w:r w:rsidRPr="003E5DB1">
              <w:rPr>
                <w:lang w:val="ro-RO"/>
              </w:rPr>
              <w:t xml:space="preserve">Povestea cutiei cu creioane colorate se bazează pe o cutie de creioane colorate care nu se înțeleg, dar care în curând își dau seama că sunt mai bune împreună. Puteți găsi un videoclip la acest link - Povestea cutiei de creioane colorate - </w:t>
            </w:r>
            <w:hyperlink r:id="rId7" w:history="1">
              <w:r w:rsidRPr="003E5DB1">
                <w:rPr>
                  <w:rStyle w:val="Hyperlink"/>
                  <w:lang w:val="ro-RO"/>
                </w:rPr>
                <w:t>https://youtu.be/XIszzJvLrDU</w:t>
              </w:r>
            </w:hyperlink>
            <w:r w:rsidRPr="003E5DB1">
              <w:rPr>
                <w:lang w:val="ro-RO"/>
              </w:rPr>
              <w:t xml:space="preserve"> </w:t>
            </w:r>
          </w:p>
          <w:p w:rsidR="00696D3D" w:rsidRPr="003E5DB1" w:rsidRDefault="003E5DB1" w:rsidP="003E5DB1">
            <w:pPr>
              <w:pStyle w:val="TableParagraph"/>
              <w:spacing w:before="117"/>
              <w:jc w:val="both"/>
              <w:rPr>
                <w:lang w:val="ro-RO"/>
              </w:rPr>
            </w:pPr>
            <w:r w:rsidRPr="003E5DB1">
              <w:rPr>
                <w:lang w:val="ro-RO"/>
              </w:rPr>
              <w:t>Iată activitățile inspirate de Crayon Box pentru a-i ajuta pe copii</w:t>
            </w:r>
            <w:r w:rsidR="000D190B" w:rsidRPr="003E5DB1">
              <w:rPr>
                <w:lang w:val="ro-RO"/>
              </w:rPr>
              <w:t>:</w:t>
            </w:r>
          </w:p>
        </w:tc>
      </w:tr>
      <w:tr w:rsidR="00696D3D" w:rsidRPr="003E5DB1">
        <w:trPr>
          <w:trHeight w:val="938"/>
        </w:trPr>
        <w:tc>
          <w:tcPr>
            <w:tcW w:w="1364" w:type="dxa"/>
            <w:tcBorders>
              <w:top w:val="nil"/>
              <w:bottom w:val="nil"/>
            </w:tcBorders>
          </w:tcPr>
          <w:p w:rsidR="00696D3D" w:rsidRPr="003E5DB1" w:rsidRDefault="00696D3D">
            <w:pPr>
              <w:pStyle w:val="TableParagraph"/>
              <w:ind w:left="0"/>
              <w:rPr>
                <w:rFonts w:ascii="Times New Roman"/>
                <w:lang w:val="ro-RO"/>
              </w:rPr>
            </w:pPr>
          </w:p>
        </w:tc>
        <w:tc>
          <w:tcPr>
            <w:tcW w:w="7570" w:type="dxa"/>
            <w:tcBorders>
              <w:top w:val="nil"/>
              <w:bottom w:val="nil"/>
            </w:tcBorders>
          </w:tcPr>
          <w:p w:rsidR="00696D3D" w:rsidRPr="003E5DB1" w:rsidRDefault="000D190B" w:rsidP="003E5DB1">
            <w:pPr>
              <w:pStyle w:val="TableParagraph"/>
              <w:spacing w:before="41" w:line="244" w:lineRule="auto"/>
              <w:ind w:right="90"/>
              <w:rPr>
                <w:lang w:val="ro-RO"/>
              </w:rPr>
            </w:pPr>
            <w:r w:rsidRPr="003E5DB1">
              <w:rPr>
                <w:lang w:val="ro-RO"/>
              </w:rPr>
              <w:t>Figur</w:t>
            </w:r>
            <w:r w:rsidR="003E5DB1" w:rsidRPr="003E5DB1">
              <w:rPr>
                <w:lang w:val="ro-RO"/>
              </w:rPr>
              <w:t>a</w:t>
            </w:r>
            <w:r w:rsidRPr="003E5DB1">
              <w:rPr>
                <w:spacing w:val="15"/>
                <w:lang w:val="ro-RO"/>
              </w:rPr>
              <w:t xml:space="preserve"> </w:t>
            </w:r>
            <w:r w:rsidRPr="003E5DB1">
              <w:rPr>
                <w:lang w:val="ro-RO"/>
              </w:rPr>
              <w:t>1</w:t>
            </w:r>
            <w:r w:rsidRPr="003E5DB1">
              <w:rPr>
                <w:spacing w:val="22"/>
                <w:lang w:val="ro-RO"/>
              </w:rPr>
              <w:t xml:space="preserve"> </w:t>
            </w:r>
            <w:r w:rsidRPr="003E5DB1">
              <w:rPr>
                <w:lang w:val="ro-RO"/>
              </w:rPr>
              <w:t>–</w:t>
            </w:r>
            <w:r w:rsidRPr="003E5DB1">
              <w:rPr>
                <w:spacing w:val="16"/>
                <w:lang w:val="ro-RO"/>
              </w:rPr>
              <w:t xml:space="preserve"> </w:t>
            </w:r>
            <w:hyperlink r:id="rId8" w:history="1">
              <w:r w:rsidR="003E5DB1" w:rsidRPr="003E5DB1">
                <w:rPr>
                  <w:rStyle w:val="Hyperlink"/>
                  <w:lang w:val="ro-RO"/>
                </w:rPr>
                <w:t>https://ecdn.teacherspayteachers.com/thumbitem/Back-to-School-</w:t>
              </w:r>
              <w:r w:rsidR="003E5DB1" w:rsidRPr="003E5DB1">
                <w:rPr>
                  <w:rStyle w:val="Hyperlink"/>
                  <w:spacing w:val="-47"/>
                  <w:lang w:val="ro-RO"/>
                </w:rPr>
                <w:t xml:space="preserve"> </w:t>
              </w:r>
              <w:r w:rsidR="003E5DB1" w:rsidRPr="003E5DB1">
                <w:rPr>
                  <w:rStyle w:val="Hyperlink"/>
                  <w:lang w:val="ro-RO"/>
                </w:rPr>
                <w:t>Activity-The-Crayon-Box-That-Talked-1320435-1521641482/original-1320435-</w:t>
              </w:r>
              <w:r w:rsidR="003E5DB1" w:rsidRPr="003E5DB1">
                <w:rPr>
                  <w:rStyle w:val="Hyperlink"/>
                  <w:spacing w:val="1"/>
                  <w:lang w:val="ro-RO"/>
                </w:rPr>
                <w:t xml:space="preserve"> </w:t>
              </w:r>
              <w:r w:rsidR="003E5DB1" w:rsidRPr="003E5DB1">
                <w:rPr>
                  <w:rStyle w:val="Hyperlink"/>
                  <w:lang w:val="ro-RO"/>
                </w:rPr>
                <w:t>2.jpg</w:t>
              </w:r>
            </w:hyperlink>
            <w:r w:rsidR="003E5DB1" w:rsidRPr="003E5DB1">
              <w:rPr>
                <w:lang w:val="ro-RO"/>
              </w:rPr>
              <w:t xml:space="preserve"> </w:t>
            </w:r>
          </w:p>
        </w:tc>
      </w:tr>
      <w:tr w:rsidR="00696D3D" w:rsidRPr="003E5DB1">
        <w:trPr>
          <w:trHeight w:val="938"/>
        </w:trPr>
        <w:tc>
          <w:tcPr>
            <w:tcW w:w="1364" w:type="dxa"/>
            <w:tcBorders>
              <w:top w:val="nil"/>
              <w:bottom w:val="nil"/>
            </w:tcBorders>
          </w:tcPr>
          <w:p w:rsidR="00696D3D" w:rsidRPr="003E5DB1" w:rsidRDefault="00696D3D">
            <w:pPr>
              <w:pStyle w:val="TableParagraph"/>
              <w:ind w:left="0"/>
              <w:rPr>
                <w:rFonts w:ascii="Times New Roman"/>
                <w:lang w:val="ro-RO"/>
              </w:rPr>
            </w:pPr>
          </w:p>
        </w:tc>
        <w:tc>
          <w:tcPr>
            <w:tcW w:w="7570" w:type="dxa"/>
            <w:tcBorders>
              <w:top w:val="nil"/>
              <w:bottom w:val="nil"/>
            </w:tcBorders>
          </w:tcPr>
          <w:p w:rsidR="00696D3D" w:rsidRPr="003E5DB1" w:rsidRDefault="000D190B" w:rsidP="003E5DB1">
            <w:pPr>
              <w:pStyle w:val="TableParagraph"/>
              <w:spacing w:before="41" w:line="244" w:lineRule="auto"/>
              <w:ind w:right="90"/>
              <w:rPr>
                <w:lang w:val="ro-RO"/>
              </w:rPr>
            </w:pPr>
            <w:r w:rsidRPr="003E5DB1">
              <w:rPr>
                <w:lang w:val="ro-RO"/>
              </w:rPr>
              <w:t>Figur</w:t>
            </w:r>
            <w:r w:rsidR="003E5DB1" w:rsidRPr="003E5DB1">
              <w:rPr>
                <w:lang w:val="ro-RO"/>
              </w:rPr>
              <w:t>a</w:t>
            </w:r>
            <w:r w:rsidRPr="003E5DB1">
              <w:rPr>
                <w:spacing w:val="15"/>
                <w:lang w:val="ro-RO"/>
              </w:rPr>
              <w:t xml:space="preserve"> </w:t>
            </w:r>
            <w:r w:rsidRPr="003E5DB1">
              <w:rPr>
                <w:lang w:val="ro-RO"/>
              </w:rPr>
              <w:t>2</w:t>
            </w:r>
            <w:r w:rsidRPr="003E5DB1">
              <w:rPr>
                <w:spacing w:val="22"/>
                <w:lang w:val="ro-RO"/>
              </w:rPr>
              <w:t xml:space="preserve"> </w:t>
            </w:r>
            <w:r w:rsidRPr="003E5DB1">
              <w:rPr>
                <w:lang w:val="ro-RO"/>
              </w:rPr>
              <w:t>–</w:t>
            </w:r>
            <w:r w:rsidRPr="003E5DB1">
              <w:rPr>
                <w:spacing w:val="16"/>
                <w:lang w:val="ro-RO"/>
              </w:rPr>
              <w:t xml:space="preserve"> </w:t>
            </w:r>
            <w:hyperlink r:id="rId9" w:history="1">
              <w:r w:rsidR="003E5DB1" w:rsidRPr="003E5DB1">
                <w:rPr>
                  <w:rStyle w:val="Hyperlink"/>
                  <w:lang w:val="ro-RO"/>
                </w:rPr>
                <w:t>https://ecdn.teacherspayteachers.com/thumbitem/Back-to-School-</w:t>
              </w:r>
              <w:r w:rsidR="003E5DB1" w:rsidRPr="003E5DB1">
                <w:rPr>
                  <w:rStyle w:val="Hyperlink"/>
                  <w:spacing w:val="-47"/>
                  <w:lang w:val="ro-RO"/>
                </w:rPr>
                <w:t xml:space="preserve"> </w:t>
              </w:r>
              <w:r w:rsidR="003E5DB1" w:rsidRPr="003E5DB1">
                <w:rPr>
                  <w:rStyle w:val="Hyperlink"/>
                  <w:lang w:val="ro-RO"/>
                </w:rPr>
                <w:t>Activity-The-Crayon-Box-That-Talked-1320435-1500067363/original-1320435-</w:t>
              </w:r>
              <w:r w:rsidR="003E5DB1" w:rsidRPr="003E5DB1">
                <w:rPr>
                  <w:rStyle w:val="Hyperlink"/>
                  <w:spacing w:val="1"/>
                  <w:lang w:val="ro-RO"/>
                </w:rPr>
                <w:t xml:space="preserve"> </w:t>
              </w:r>
              <w:r w:rsidR="003E5DB1" w:rsidRPr="003E5DB1">
                <w:rPr>
                  <w:rStyle w:val="Hyperlink"/>
                  <w:lang w:val="ro-RO"/>
                </w:rPr>
                <w:t>3.jpg</w:t>
              </w:r>
            </w:hyperlink>
            <w:r w:rsidR="003E5DB1" w:rsidRPr="003E5DB1">
              <w:rPr>
                <w:lang w:val="ro-RO"/>
              </w:rPr>
              <w:t xml:space="preserve"> </w:t>
            </w:r>
          </w:p>
        </w:tc>
      </w:tr>
      <w:tr w:rsidR="00696D3D" w:rsidRPr="003E5DB1">
        <w:trPr>
          <w:trHeight w:val="700"/>
        </w:trPr>
        <w:tc>
          <w:tcPr>
            <w:tcW w:w="1364" w:type="dxa"/>
            <w:tcBorders>
              <w:top w:val="nil"/>
            </w:tcBorders>
          </w:tcPr>
          <w:p w:rsidR="00696D3D" w:rsidRPr="003E5DB1" w:rsidRDefault="00696D3D">
            <w:pPr>
              <w:pStyle w:val="TableParagraph"/>
              <w:ind w:left="0"/>
              <w:rPr>
                <w:rFonts w:ascii="Times New Roman"/>
                <w:lang w:val="ro-RO"/>
              </w:rPr>
            </w:pPr>
          </w:p>
        </w:tc>
        <w:tc>
          <w:tcPr>
            <w:tcW w:w="7570" w:type="dxa"/>
            <w:tcBorders>
              <w:top w:val="nil"/>
            </w:tcBorders>
          </w:tcPr>
          <w:p w:rsidR="00696D3D" w:rsidRPr="003E5DB1" w:rsidRDefault="000D190B" w:rsidP="003E5DB1">
            <w:pPr>
              <w:pStyle w:val="TableParagraph"/>
              <w:spacing w:before="41" w:line="244" w:lineRule="auto"/>
              <w:ind w:right="92"/>
              <w:rPr>
                <w:lang w:val="ro-RO"/>
              </w:rPr>
            </w:pPr>
            <w:r w:rsidRPr="003E5DB1">
              <w:rPr>
                <w:lang w:val="ro-RO"/>
              </w:rPr>
              <w:t>Figur</w:t>
            </w:r>
            <w:r w:rsidR="003E5DB1" w:rsidRPr="003E5DB1">
              <w:rPr>
                <w:lang w:val="ro-RO"/>
              </w:rPr>
              <w:t>a</w:t>
            </w:r>
            <w:r w:rsidRPr="003E5DB1">
              <w:rPr>
                <w:spacing w:val="32"/>
                <w:lang w:val="ro-RO"/>
              </w:rPr>
              <w:t xml:space="preserve"> </w:t>
            </w:r>
            <w:r w:rsidRPr="003E5DB1">
              <w:rPr>
                <w:lang w:val="ro-RO"/>
              </w:rPr>
              <w:t>3</w:t>
            </w:r>
            <w:r w:rsidRPr="003E5DB1">
              <w:rPr>
                <w:spacing w:val="37"/>
                <w:lang w:val="ro-RO"/>
              </w:rPr>
              <w:t xml:space="preserve"> </w:t>
            </w:r>
            <w:r w:rsidRPr="003E5DB1">
              <w:rPr>
                <w:lang w:val="ro-RO"/>
              </w:rPr>
              <w:t>–</w:t>
            </w:r>
            <w:r w:rsidRPr="003E5DB1">
              <w:rPr>
                <w:spacing w:val="35"/>
                <w:lang w:val="ro-RO"/>
              </w:rPr>
              <w:t xml:space="preserve"> </w:t>
            </w:r>
            <w:hyperlink r:id="rId10" w:history="1">
              <w:r w:rsidR="003E5DB1" w:rsidRPr="003E5DB1">
                <w:rPr>
                  <w:rStyle w:val="Hyperlink"/>
                  <w:lang w:val="ro-RO"/>
                </w:rPr>
                <w:t>https://ecdn.teacherspayteachers.com/thumbitem/The-Crayon-Box-</w:t>
              </w:r>
              <w:r w:rsidR="003E5DB1" w:rsidRPr="003E5DB1">
                <w:rPr>
                  <w:rStyle w:val="Hyperlink"/>
                  <w:spacing w:val="-47"/>
                  <w:lang w:val="ro-RO"/>
                </w:rPr>
                <w:t xml:space="preserve"> </w:t>
              </w:r>
              <w:r w:rsidR="003E5DB1" w:rsidRPr="003E5DB1">
                <w:rPr>
                  <w:rStyle w:val="Hyperlink"/>
                  <w:lang w:val="ro-RO"/>
                </w:rPr>
                <w:t>That-Talked-Writing-Papers-1420665903/original-191830-2.jpg</w:t>
              </w:r>
            </w:hyperlink>
            <w:r w:rsidR="003E5DB1" w:rsidRPr="003E5DB1">
              <w:rPr>
                <w:lang w:val="ro-RO"/>
              </w:rPr>
              <w:t xml:space="preserve"> </w:t>
            </w:r>
          </w:p>
        </w:tc>
      </w:tr>
    </w:tbl>
    <w:p w:rsidR="00696D3D" w:rsidRPr="003E5DB1" w:rsidRDefault="000D190B">
      <w:pPr>
        <w:pStyle w:val="BodyText"/>
        <w:spacing w:before="9"/>
        <w:rPr>
          <w:rFonts w:ascii="Times New Roman"/>
          <w:i w:val="0"/>
          <w:sz w:val="10"/>
          <w:lang w:val="ro-RO"/>
        </w:rPr>
      </w:pPr>
      <w:r w:rsidRPr="003E5DB1">
        <w:rPr>
          <w:lang w:val="ro-RO"/>
        </w:rPr>
        <w:pict>
          <v:rect id="_x0000_s1026" style="position:absolute;margin-left:92.5pt;margin-top:8.15pt;width:135.35pt;height:.7pt;z-index:-251658752;mso-wrap-distance-left:0;mso-wrap-distance-right:0;mso-position-horizontal-relative:page;mso-position-vertical-relative:text" fillcolor="black" stroked="f">
            <w10:wrap type="topAndBottom" anchorx="page"/>
          </v:rect>
        </w:pict>
      </w:r>
    </w:p>
    <w:p w:rsidR="00696D3D" w:rsidRPr="003E5DB1" w:rsidRDefault="000D190B">
      <w:pPr>
        <w:spacing w:before="71" w:line="244" w:lineRule="auto"/>
        <w:ind w:left="130" w:right="341"/>
        <w:rPr>
          <w:lang w:val="ro-RO"/>
        </w:rPr>
      </w:pPr>
      <w:r w:rsidRPr="003E5DB1">
        <w:rPr>
          <w:vertAlign w:val="superscript"/>
          <w:lang w:val="ro-RO"/>
        </w:rPr>
        <w:t>1</w:t>
      </w:r>
      <w:r w:rsidRPr="003E5DB1">
        <w:rPr>
          <w:lang w:val="ro-RO"/>
        </w:rPr>
        <w:t>Madisonhagar6</w:t>
      </w:r>
      <w:r w:rsidRPr="003E5DB1">
        <w:rPr>
          <w:spacing w:val="16"/>
          <w:lang w:val="ro-RO"/>
        </w:rPr>
        <w:t xml:space="preserve"> </w:t>
      </w:r>
      <w:r w:rsidRPr="003E5DB1">
        <w:rPr>
          <w:lang w:val="ro-RO"/>
        </w:rPr>
        <w:t>(2014)</w:t>
      </w:r>
      <w:r w:rsidRPr="003E5DB1">
        <w:rPr>
          <w:spacing w:val="17"/>
          <w:lang w:val="ro-RO"/>
        </w:rPr>
        <w:t xml:space="preserve"> </w:t>
      </w:r>
      <w:r w:rsidRPr="003E5DB1">
        <w:rPr>
          <w:i/>
          <w:lang w:val="ro-RO"/>
        </w:rPr>
        <w:t>A</w:t>
      </w:r>
      <w:r w:rsidRPr="003E5DB1">
        <w:rPr>
          <w:i/>
          <w:spacing w:val="7"/>
          <w:lang w:val="ro-RO"/>
        </w:rPr>
        <w:t xml:space="preserve"> </w:t>
      </w:r>
      <w:r w:rsidRPr="003E5DB1">
        <w:rPr>
          <w:i/>
          <w:lang w:val="ro-RO"/>
        </w:rPr>
        <w:t>September</w:t>
      </w:r>
      <w:r w:rsidRPr="003E5DB1">
        <w:rPr>
          <w:i/>
          <w:spacing w:val="10"/>
          <w:lang w:val="ro-RO"/>
        </w:rPr>
        <w:t xml:space="preserve"> </w:t>
      </w:r>
      <w:r w:rsidRPr="003E5DB1">
        <w:rPr>
          <w:i/>
          <w:lang w:val="ro-RO"/>
        </w:rPr>
        <w:t>Ice</w:t>
      </w:r>
      <w:r w:rsidRPr="003E5DB1">
        <w:rPr>
          <w:i/>
          <w:spacing w:val="16"/>
          <w:lang w:val="ro-RO"/>
        </w:rPr>
        <w:t xml:space="preserve"> </w:t>
      </w:r>
      <w:r w:rsidRPr="003E5DB1">
        <w:rPr>
          <w:i/>
          <w:lang w:val="ro-RO"/>
        </w:rPr>
        <w:t>Breaker:</w:t>
      </w:r>
      <w:r w:rsidRPr="003E5DB1">
        <w:rPr>
          <w:i/>
          <w:spacing w:val="13"/>
          <w:lang w:val="ro-RO"/>
        </w:rPr>
        <w:t xml:space="preserve"> </w:t>
      </w:r>
      <w:r w:rsidRPr="003E5DB1">
        <w:rPr>
          <w:i/>
          <w:lang w:val="ro-RO"/>
        </w:rPr>
        <w:t>An</w:t>
      </w:r>
      <w:r w:rsidRPr="003E5DB1">
        <w:rPr>
          <w:i/>
          <w:spacing w:val="12"/>
          <w:lang w:val="ro-RO"/>
        </w:rPr>
        <w:t xml:space="preserve"> </w:t>
      </w:r>
      <w:r w:rsidRPr="003E5DB1">
        <w:rPr>
          <w:i/>
          <w:lang w:val="ro-RO"/>
        </w:rPr>
        <w:t>Activity</w:t>
      </w:r>
      <w:r w:rsidRPr="003E5DB1">
        <w:rPr>
          <w:i/>
          <w:spacing w:val="11"/>
          <w:lang w:val="ro-RO"/>
        </w:rPr>
        <w:t xml:space="preserve"> </w:t>
      </w:r>
      <w:r w:rsidRPr="003E5DB1">
        <w:rPr>
          <w:i/>
          <w:lang w:val="ro-RO"/>
        </w:rPr>
        <w:t>to</w:t>
      </w:r>
      <w:r w:rsidRPr="003E5DB1">
        <w:rPr>
          <w:i/>
          <w:spacing w:val="10"/>
          <w:lang w:val="ro-RO"/>
        </w:rPr>
        <w:t xml:space="preserve"> </w:t>
      </w:r>
      <w:r w:rsidRPr="003E5DB1">
        <w:rPr>
          <w:i/>
          <w:lang w:val="ro-RO"/>
        </w:rPr>
        <w:t>Help</w:t>
      </w:r>
      <w:r w:rsidRPr="003E5DB1">
        <w:rPr>
          <w:i/>
          <w:spacing w:val="15"/>
          <w:lang w:val="ro-RO"/>
        </w:rPr>
        <w:t xml:space="preserve"> </w:t>
      </w:r>
      <w:r w:rsidRPr="003E5DB1">
        <w:rPr>
          <w:i/>
          <w:lang w:val="ro-RO"/>
        </w:rPr>
        <w:t>Establish</w:t>
      </w:r>
      <w:r w:rsidRPr="003E5DB1">
        <w:rPr>
          <w:i/>
          <w:spacing w:val="15"/>
          <w:lang w:val="ro-RO"/>
        </w:rPr>
        <w:t xml:space="preserve"> </w:t>
      </w:r>
      <w:r w:rsidRPr="003E5DB1">
        <w:rPr>
          <w:i/>
          <w:lang w:val="ro-RO"/>
        </w:rPr>
        <w:t>a</w:t>
      </w:r>
      <w:r w:rsidRPr="003E5DB1">
        <w:rPr>
          <w:i/>
          <w:spacing w:val="9"/>
          <w:lang w:val="ro-RO"/>
        </w:rPr>
        <w:t xml:space="preserve"> </w:t>
      </w:r>
      <w:r w:rsidRPr="003E5DB1">
        <w:rPr>
          <w:i/>
          <w:lang w:val="ro-RO"/>
        </w:rPr>
        <w:t>Non-</w:t>
      </w:r>
      <w:r w:rsidRPr="003E5DB1">
        <w:rPr>
          <w:i/>
          <w:spacing w:val="-46"/>
          <w:lang w:val="ro-RO"/>
        </w:rPr>
        <w:t xml:space="preserve"> </w:t>
      </w:r>
      <w:r w:rsidRPr="003E5DB1">
        <w:rPr>
          <w:i/>
          <w:lang w:val="ro-RO"/>
        </w:rPr>
        <w:t>judgmental</w:t>
      </w:r>
      <w:r w:rsidRPr="003E5DB1">
        <w:rPr>
          <w:i/>
          <w:spacing w:val="7"/>
          <w:lang w:val="ro-RO"/>
        </w:rPr>
        <w:t xml:space="preserve"> </w:t>
      </w:r>
      <w:r w:rsidRPr="003E5DB1">
        <w:rPr>
          <w:i/>
          <w:lang w:val="ro-RO"/>
        </w:rPr>
        <w:t>Classroom.</w:t>
      </w:r>
      <w:r w:rsidRPr="003E5DB1">
        <w:rPr>
          <w:i/>
          <w:spacing w:val="7"/>
          <w:lang w:val="ro-RO"/>
        </w:rPr>
        <w:t xml:space="preserve"> </w:t>
      </w:r>
      <w:r w:rsidRPr="003E5DB1">
        <w:rPr>
          <w:lang w:val="ro-RO"/>
        </w:rPr>
        <w:t>[Accessed:</w:t>
      </w:r>
      <w:r w:rsidRPr="003E5DB1">
        <w:rPr>
          <w:spacing w:val="7"/>
          <w:lang w:val="ro-RO"/>
        </w:rPr>
        <w:t xml:space="preserve"> </w:t>
      </w:r>
      <w:r w:rsidRPr="003E5DB1">
        <w:rPr>
          <w:lang w:val="ro-RO"/>
        </w:rPr>
        <w:t>21</w:t>
      </w:r>
      <w:r w:rsidRPr="003E5DB1">
        <w:rPr>
          <w:spacing w:val="8"/>
          <w:lang w:val="ro-RO"/>
        </w:rPr>
        <w:t xml:space="preserve"> </w:t>
      </w:r>
      <w:r w:rsidRPr="003E5DB1">
        <w:rPr>
          <w:lang w:val="ro-RO"/>
        </w:rPr>
        <w:t>August</w:t>
      </w:r>
      <w:r w:rsidRPr="003E5DB1">
        <w:rPr>
          <w:spacing w:val="3"/>
          <w:lang w:val="ro-RO"/>
        </w:rPr>
        <w:t xml:space="preserve"> </w:t>
      </w:r>
      <w:r w:rsidRPr="003E5DB1">
        <w:rPr>
          <w:lang w:val="ro-RO"/>
        </w:rPr>
        <w:t>2020]</w:t>
      </w:r>
      <w:r w:rsidRPr="003E5DB1">
        <w:rPr>
          <w:spacing w:val="5"/>
          <w:lang w:val="ro-RO"/>
        </w:rPr>
        <w:t xml:space="preserve"> </w:t>
      </w:r>
      <w:r w:rsidRPr="003E5DB1">
        <w:rPr>
          <w:lang w:val="ro-RO"/>
        </w:rPr>
        <w:t>[Online]</w:t>
      </w:r>
      <w:r w:rsidRPr="003E5DB1">
        <w:rPr>
          <w:spacing w:val="5"/>
          <w:lang w:val="ro-RO"/>
        </w:rPr>
        <w:t xml:space="preserve"> </w:t>
      </w:r>
      <w:r w:rsidRPr="003E5DB1">
        <w:rPr>
          <w:lang w:val="ro-RO"/>
        </w:rPr>
        <w:t>Available:</w:t>
      </w:r>
      <w:r w:rsidRPr="003E5DB1">
        <w:rPr>
          <w:spacing w:val="1"/>
          <w:lang w:val="ro-RO"/>
        </w:rPr>
        <w:t xml:space="preserve"> </w:t>
      </w:r>
      <w:r w:rsidRPr="003E5DB1">
        <w:rPr>
          <w:color w:val="0562C1"/>
          <w:u w:val="single" w:color="0562C1"/>
          <w:lang w:val="ro-RO"/>
        </w:rPr>
        <w:t>https://theequalitycirrculum.wordpress.com/2014/12/10/20/</w:t>
      </w:r>
    </w:p>
    <w:p w:rsidR="00696D3D" w:rsidRPr="003E5DB1" w:rsidRDefault="00696D3D">
      <w:pPr>
        <w:spacing w:line="244" w:lineRule="auto"/>
        <w:rPr>
          <w:lang w:val="ro-RO"/>
        </w:rPr>
        <w:sectPr w:rsidR="00696D3D" w:rsidRPr="003E5DB1">
          <w:headerReference w:type="default" r:id="rId11"/>
          <w:footerReference w:type="default" r:id="rId12"/>
          <w:type w:val="continuous"/>
          <w:pgSz w:w="12240" w:h="15840"/>
          <w:pgMar w:top="1380" w:right="1320" w:bottom="1740" w:left="1720" w:header="307" w:footer="1542" w:gutter="0"/>
          <w:pgNumType w:start="1"/>
          <w:cols w:space="720"/>
        </w:sectPr>
      </w:pPr>
    </w:p>
    <w:tbl>
      <w:tblPr>
        <w:tblW w:w="923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7570"/>
      </w:tblGrid>
      <w:tr w:rsidR="00696D3D" w:rsidRPr="003E5DB1" w:rsidTr="003E5DB1">
        <w:trPr>
          <w:trHeight w:val="1329"/>
        </w:trPr>
        <w:tc>
          <w:tcPr>
            <w:tcW w:w="1665" w:type="dxa"/>
          </w:tcPr>
          <w:p w:rsidR="00696D3D" w:rsidRPr="003E5DB1" w:rsidRDefault="00696D3D">
            <w:pPr>
              <w:pStyle w:val="TableParagraph"/>
              <w:ind w:left="0"/>
              <w:rPr>
                <w:rFonts w:ascii="Times New Roman"/>
                <w:lang w:val="ro-RO"/>
              </w:rPr>
            </w:pPr>
          </w:p>
        </w:tc>
        <w:tc>
          <w:tcPr>
            <w:tcW w:w="7570" w:type="dxa"/>
          </w:tcPr>
          <w:p w:rsidR="00696D3D" w:rsidRPr="003E5DB1" w:rsidRDefault="000D190B">
            <w:pPr>
              <w:pStyle w:val="TableParagraph"/>
              <w:spacing w:before="6" w:line="247" w:lineRule="auto"/>
              <w:ind w:right="86"/>
              <w:rPr>
                <w:lang w:val="ro-RO"/>
              </w:rPr>
            </w:pPr>
            <w:r w:rsidRPr="003E5DB1">
              <w:rPr>
                <w:lang w:val="ro-RO"/>
              </w:rPr>
              <w:t>Figur</w:t>
            </w:r>
            <w:r w:rsidR="003E5DB1" w:rsidRPr="003E5DB1">
              <w:rPr>
                <w:lang w:val="ro-RO"/>
              </w:rPr>
              <w:t>a</w:t>
            </w:r>
            <w:r w:rsidRPr="003E5DB1">
              <w:rPr>
                <w:spacing w:val="19"/>
                <w:lang w:val="ro-RO"/>
              </w:rPr>
              <w:t xml:space="preserve"> </w:t>
            </w:r>
            <w:r w:rsidRPr="003E5DB1">
              <w:rPr>
                <w:lang w:val="ro-RO"/>
              </w:rPr>
              <w:t>4</w:t>
            </w:r>
            <w:r w:rsidRPr="003E5DB1">
              <w:rPr>
                <w:spacing w:val="20"/>
                <w:lang w:val="ro-RO"/>
              </w:rPr>
              <w:t xml:space="preserve"> </w:t>
            </w:r>
            <w:r w:rsidRPr="003E5DB1">
              <w:rPr>
                <w:lang w:val="ro-RO"/>
              </w:rPr>
              <w:t>–</w:t>
            </w:r>
            <w:r w:rsidRPr="003E5DB1">
              <w:rPr>
                <w:spacing w:val="19"/>
                <w:lang w:val="ro-RO"/>
              </w:rPr>
              <w:t xml:space="preserve"> </w:t>
            </w:r>
            <w:hyperlink r:id="rId13" w:history="1">
              <w:r w:rsidR="003E5DB1" w:rsidRPr="003E5DB1">
                <w:rPr>
                  <w:rStyle w:val="Hyperlink"/>
                  <w:lang w:val="ro-RO"/>
                </w:rPr>
                <w:t>https://sidnithome.files.wordpress.com/2014/06/the-crayon-box-</w:t>
              </w:r>
              <w:r w:rsidR="003E5DB1" w:rsidRPr="003E5DB1">
                <w:rPr>
                  <w:rStyle w:val="Hyperlink"/>
                  <w:spacing w:val="-47"/>
                  <w:lang w:val="ro-RO"/>
                </w:rPr>
                <w:t xml:space="preserve"> </w:t>
              </w:r>
              <w:r w:rsidR="003E5DB1" w:rsidRPr="003E5DB1">
                <w:rPr>
                  <w:rStyle w:val="Hyperlink"/>
                  <w:lang w:val="ro-RO"/>
                </w:rPr>
                <w:t>that-talked.jpg</w:t>
              </w:r>
            </w:hyperlink>
            <w:r w:rsidR="003E5DB1" w:rsidRPr="003E5DB1">
              <w:rPr>
                <w:lang w:val="ro-RO"/>
              </w:rPr>
              <w:t xml:space="preserve"> </w:t>
            </w:r>
          </w:p>
          <w:p w:rsidR="00696D3D" w:rsidRPr="003E5DB1" w:rsidRDefault="000D190B" w:rsidP="003E5DB1">
            <w:pPr>
              <w:pStyle w:val="TableParagraph"/>
              <w:tabs>
                <w:tab w:val="left" w:pos="3982"/>
                <w:tab w:val="left" w:pos="7404"/>
              </w:tabs>
              <w:spacing w:before="112" w:line="247" w:lineRule="auto"/>
              <w:ind w:right="84"/>
              <w:rPr>
                <w:lang w:val="ro-RO"/>
              </w:rPr>
            </w:pPr>
            <w:r w:rsidRPr="003E5DB1">
              <w:rPr>
                <w:lang w:val="ro-RO"/>
              </w:rPr>
              <w:t>Figur</w:t>
            </w:r>
            <w:r w:rsidR="003E5DB1" w:rsidRPr="003E5DB1">
              <w:rPr>
                <w:lang w:val="ro-RO"/>
              </w:rPr>
              <w:t xml:space="preserve">a 5 </w:t>
            </w:r>
            <w:r w:rsidRPr="003E5DB1">
              <w:rPr>
                <w:spacing w:val="-3"/>
                <w:lang w:val="ro-RO"/>
              </w:rPr>
              <w:t>-</w:t>
            </w:r>
            <w:r w:rsidRPr="003E5DB1">
              <w:rPr>
                <w:spacing w:val="-47"/>
                <w:lang w:val="ro-RO"/>
              </w:rPr>
              <w:t xml:space="preserve"> </w:t>
            </w:r>
            <w:hyperlink r:id="rId14" w:history="1">
              <w:r w:rsidR="003E5DB1" w:rsidRPr="003E5DB1">
                <w:rPr>
                  <w:rStyle w:val="Hyperlink"/>
                  <w:lang w:val="ro-RO"/>
                </w:rPr>
                <w:t>https://i.pinimg.com/564x/ed/5b/c1/ed5bc14b25d4b71648a14ef08123cd6a.jpg</w:t>
              </w:r>
            </w:hyperlink>
            <w:r w:rsidR="003E5DB1" w:rsidRPr="003E5DB1">
              <w:rPr>
                <w:lang w:val="ro-RO"/>
              </w:rPr>
              <w:t xml:space="preserve"> </w:t>
            </w:r>
          </w:p>
        </w:tc>
      </w:tr>
      <w:tr w:rsidR="00696D3D" w:rsidRPr="003E5DB1" w:rsidTr="003E5DB1">
        <w:trPr>
          <w:trHeight w:val="6058"/>
        </w:trPr>
        <w:tc>
          <w:tcPr>
            <w:tcW w:w="1665" w:type="dxa"/>
          </w:tcPr>
          <w:p w:rsidR="00696D3D" w:rsidRPr="003E5DB1" w:rsidRDefault="000D190B">
            <w:pPr>
              <w:pStyle w:val="TableParagraph"/>
              <w:spacing w:before="4"/>
              <w:ind w:left="102"/>
              <w:rPr>
                <w:b/>
                <w:i/>
                <w:lang w:val="ro-RO"/>
              </w:rPr>
            </w:pPr>
            <w:r w:rsidRPr="003E5DB1">
              <w:rPr>
                <w:b/>
                <w:i/>
                <w:lang w:val="ro-RO"/>
              </w:rPr>
              <w:t>Perspective</w:t>
            </w:r>
          </w:p>
          <w:p w:rsidR="00696D3D" w:rsidRPr="003E5DB1" w:rsidRDefault="000D190B">
            <w:pPr>
              <w:pStyle w:val="TableParagraph"/>
              <w:spacing w:before="7"/>
              <w:ind w:left="102"/>
              <w:rPr>
                <w:i/>
                <w:lang w:val="ro-RO"/>
              </w:rPr>
            </w:pPr>
            <w:r w:rsidRPr="003E5DB1">
              <w:rPr>
                <w:i/>
                <w:lang w:val="ro-RO"/>
              </w:rPr>
              <w:t>(15-20</w:t>
            </w:r>
          </w:p>
          <w:p w:rsidR="00696D3D" w:rsidRPr="003E5DB1" w:rsidRDefault="000D190B" w:rsidP="003E5DB1">
            <w:pPr>
              <w:pStyle w:val="TableParagraph"/>
              <w:spacing w:before="5"/>
              <w:ind w:left="102"/>
              <w:rPr>
                <w:i/>
                <w:lang w:val="ro-RO"/>
              </w:rPr>
            </w:pPr>
            <w:r w:rsidRPr="003E5DB1">
              <w:rPr>
                <w:i/>
                <w:lang w:val="ro-RO"/>
              </w:rPr>
              <w:t>minute</w:t>
            </w:r>
            <w:r w:rsidRPr="003E5DB1">
              <w:rPr>
                <w:i/>
                <w:lang w:val="ro-RO"/>
              </w:rPr>
              <w:t>)</w:t>
            </w:r>
          </w:p>
        </w:tc>
        <w:tc>
          <w:tcPr>
            <w:tcW w:w="7570" w:type="dxa"/>
          </w:tcPr>
          <w:p w:rsidR="003E5DB1" w:rsidRPr="003E5DB1" w:rsidRDefault="003E5DB1" w:rsidP="003E5DB1">
            <w:pPr>
              <w:pStyle w:val="TableParagraph"/>
              <w:spacing w:before="4" w:line="247" w:lineRule="auto"/>
              <w:ind w:right="85"/>
              <w:jc w:val="both"/>
              <w:rPr>
                <w:lang w:val="ro-RO"/>
              </w:rPr>
            </w:pPr>
            <w:r w:rsidRPr="003E5DB1">
              <w:rPr>
                <w:lang w:val="ro-RO"/>
              </w:rPr>
              <w:t>Scopul este de a învăța să vedeți lucrurile din perspectiva altcuiva și de a învăța cum pot apărea conflictele.</w:t>
            </w:r>
          </w:p>
          <w:p w:rsidR="003E5DB1" w:rsidRPr="003E5DB1" w:rsidRDefault="003E5DB1" w:rsidP="003E5DB1">
            <w:pPr>
              <w:pStyle w:val="TableParagraph"/>
              <w:spacing w:before="4" w:line="247" w:lineRule="auto"/>
              <w:ind w:right="85"/>
              <w:jc w:val="both"/>
              <w:rPr>
                <w:lang w:val="ro-RO"/>
              </w:rPr>
            </w:pPr>
            <w:r w:rsidRPr="003E5DB1">
              <w:rPr>
                <w:lang w:val="ro-RO"/>
              </w:rPr>
              <w:t>- Participanții se așează în cerc.</w:t>
            </w:r>
          </w:p>
          <w:p w:rsidR="003E5DB1" w:rsidRPr="003E5DB1" w:rsidRDefault="003E5DB1" w:rsidP="003E5DB1">
            <w:pPr>
              <w:pStyle w:val="TableParagraph"/>
              <w:spacing w:before="4" w:line="247" w:lineRule="auto"/>
              <w:ind w:right="85"/>
              <w:jc w:val="both"/>
              <w:rPr>
                <w:lang w:val="ro-RO"/>
              </w:rPr>
            </w:pPr>
            <w:r w:rsidRPr="003E5DB1">
              <w:rPr>
                <w:lang w:val="ro-RO"/>
              </w:rPr>
              <w:t>- Un voluntar se așează în mijloc. Voluntarului i se spune că va fi descris de restul grupului, dar să nu-și facă griji, este doar un joc.</w:t>
            </w:r>
          </w:p>
          <w:p w:rsidR="003E5DB1" w:rsidRPr="003E5DB1" w:rsidRDefault="003E5DB1" w:rsidP="003E5DB1">
            <w:pPr>
              <w:pStyle w:val="TableParagraph"/>
              <w:spacing w:before="4" w:line="247" w:lineRule="auto"/>
              <w:ind w:right="85"/>
              <w:jc w:val="both"/>
              <w:rPr>
                <w:lang w:val="ro-RO"/>
              </w:rPr>
            </w:pPr>
            <w:r w:rsidRPr="003E5DB1">
              <w:rPr>
                <w:lang w:val="ro-RO"/>
              </w:rPr>
              <w:t>- Participanții din cerc sunt rugați să descrie persoana din mijloc doar din perspectiva a ceea ce pot vedea și să declare că ceea ce văd este un fapt absolut. De exemplu, dacă cineva nu poate vedea decât o ureche, ei spun "Are o singură ureche". Altcineva va contrazice apoi ceea ce a spus acea persoană din perspectiva sa, de exemplu: "Ce tot spui acolo, este foarte clar că are o ureche și trei sferturi". Altcineva poate spune "Nu ́știu despre ce vorbești, nici măcar nu are o față!" și astfel dezbaterea continuă într-un fel de improvizație.</w:t>
            </w:r>
          </w:p>
          <w:p w:rsidR="003E5DB1" w:rsidRPr="003E5DB1" w:rsidRDefault="003E5DB1" w:rsidP="003E5DB1">
            <w:pPr>
              <w:pStyle w:val="TableParagraph"/>
              <w:spacing w:before="4" w:line="247" w:lineRule="auto"/>
              <w:ind w:right="85"/>
              <w:jc w:val="both"/>
              <w:rPr>
                <w:lang w:val="ro-RO"/>
              </w:rPr>
            </w:pPr>
            <w:r w:rsidRPr="003E5DB1">
              <w:rPr>
                <w:lang w:val="ro-RO"/>
              </w:rPr>
              <w:t>- Apoi, persoana din mijloc este invitată să își schimbe poziția în scaun. Dezbaterea/improvizația continuă.</w:t>
            </w:r>
          </w:p>
          <w:p w:rsidR="003E5DB1" w:rsidRPr="003E5DB1" w:rsidRDefault="003E5DB1" w:rsidP="003E5DB1">
            <w:pPr>
              <w:pStyle w:val="TableParagraph"/>
              <w:spacing w:before="4" w:line="247" w:lineRule="auto"/>
              <w:ind w:right="85"/>
              <w:jc w:val="both"/>
              <w:rPr>
                <w:lang w:val="ro-RO"/>
              </w:rPr>
            </w:pPr>
            <w:r w:rsidRPr="003E5DB1">
              <w:rPr>
                <w:lang w:val="ro-RO"/>
              </w:rPr>
              <w:t>- Apoi, toți participanții sunt invitați să se mute de pe locul lor și să se așeze în altă parte în cerc.</w:t>
            </w:r>
          </w:p>
          <w:p w:rsidR="003E5DB1" w:rsidRPr="003E5DB1" w:rsidRDefault="003E5DB1" w:rsidP="003E5DB1">
            <w:pPr>
              <w:pStyle w:val="TableParagraph"/>
              <w:spacing w:before="4" w:line="247" w:lineRule="auto"/>
              <w:ind w:right="85"/>
              <w:jc w:val="both"/>
              <w:rPr>
                <w:lang w:val="ro-RO"/>
              </w:rPr>
            </w:pPr>
            <w:r w:rsidRPr="003E5DB1">
              <w:rPr>
                <w:lang w:val="ro-RO"/>
              </w:rPr>
              <w:t>- Persoana din mijloc se reintegrează apoi în cerc. Dezbaterea s-a încheiat. Grupul reflectează acum la numeroasele semnificații ale acestui exercițiu și la ceea ce a demonstrat.</w:t>
            </w:r>
          </w:p>
          <w:p w:rsidR="00696D3D" w:rsidRPr="003E5DB1" w:rsidRDefault="003E5DB1" w:rsidP="003E5DB1">
            <w:pPr>
              <w:pStyle w:val="TableParagraph"/>
              <w:spacing w:line="250" w:lineRule="exact"/>
              <w:jc w:val="both"/>
              <w:rPr>
                <w:lang w:val="ro-RO"/>
              </w:rPr>
            </w:pPr>
            <w:r w:rsidRPr="003E5DB1">
              <w:rPr>
                <w:lang w:val="ro-RO"/>
              </w:rPr>
              <w:t>- Grupul este invitat să își amintească acest exercițiu ori de câte ori se confruntă cu un conflict în cadrul grupului.</w:t>
            </w:r>
          </w:p>
        </w:tc>
      </w:tr>
      <w:tr w:rsidR="003E5DB1" w:rsidRPr="003E5DB1" w:rsidTr="00E16664">
        <w:trPr>
          <w:trHeight w:val="1599"/>
        </w:trPr>
        <w:tc>
          <w:tcPr>
            <w:tcW w:w="1665" w:type="dxa"/>
          </w:tcPr>
          <w:p w:rsidR="003E5DB1" w:rsidRPr="003E5DB1" w:rsidRDefault="003E5DB1" w:rsidP="003E5DB1">
            <w:pPr>
              <w:pStyle w:val="TableParagraph"/>
              <w:spacing w:before="5"/>
              <w:ind w:left="102"/>
              <w:rPr>
                <w:b/>
                <w:i/>
                <w:lang w:val="ro-RO"/>
              </w:rPr>
            </w:pPr>
            <w:r w:rsidRPr="003E5DB1">
              <w:rPr>
                <w:b/>
                <w:i/>
                <w:lang w:val="ro-RO"/>
              </w:rPr>
              <w:t>Discutarea</w:t>
            </w:r>
          </w:p>
          <w:p w:rsidR="003E5DB1" w:rsidRPr="003E5DB1" w:rsidRDefault="003E5DB1" w:rsidP="003E5DB1">
            <w:pPr>
              <w:pStyle w:val="TableParagraph"/>
              <w:spacing w:line="252" w:lineRule="exact"/>
              <w:ind w:left="102"/>
              <w:rPr>
                <w:b/>
                <w:i/>
                <w:lang w:val="ro-RO"/>
              </w:rPr>
            </w:pPr>
            <w:r w:rsidRPr="003E5DB1">
              <w:rPr>
                <w:b/>
                <w:i/>
                <w:lang w:val="ro-RO"/>
              </w:rPr>
              <w:t>stereotipurilor</w:t>
            </w:r>
          </w:p>
          <w:p w:rsidR="003E5DB1" w:rsidRPr="003E5DB1" w:rsidRDefault="003E5DB1">
            <w:pPr>
              <w:pStyle w:val="TableParagraph"/>
              <w:spacing w:before="41"/>
              <w:ind w:left="102"/>
              <w:rPr>
                <w:i/>
                <w:lang w:val="ro-RO"/>
              </w:rPr>
            </w:pPr>
            <w:r w:rsidRPr="003E5DB1">
              <w:rPr>
                <w:i/>
                <w:lang w:val="ro-RO"/>
              </w:rPr>
              <w:t>(20-30</w:t>
            </w:r>
          </w:p>
          <w:p w:rsidR="003E5DB1" w:rsidRPr="003E5DB1" w:rsidRDefault="003E5DB1" w:rsidP="003E5DB1">
            <w:pPr>
              <w:pStyle w:val="TableParagraph"/>
              <w:spacing w:line="253" w:lineRule="exact"/>
              <w:ind w:left="102"/>
              <w:rPr>
                <w:b/>
                <w:i/>
                <w:lang w:val="ro-RO"/>
              </w:rPr>
            </w:pPr>
            <w:r w:rsidRPr="003E5DB1">
              <w:rPr>
                <w:i/>
                <w:lang w:val="ro-RO"/>
              </w:rPr>
              <w:t>minute)</w:t>
            </w:r>
          </w:p>
        </w:tc>
        <w:tc>
          <w:tcPr>
            <w:tcW w:w="7570" w:type="dxa"/>
          </w:tcPr>
          <w:p w:rsidR="003E5DB1" w:rsidRPr="003E5DB1" w:rsidRDefault="003E5DB1" w:rsidP="003E5DB1">
            <w:pPr>
              <w:rPr>
                <w:lang w:val="ro-RO"/>
              </w:rPr>
            </w:pPr>
            <w:r w:rsidRPr="003E5DB1">
              <w:rPr>
                <w:lang w:val="ro-RO"/>
              </w:rPr>
              <w:t>Descărcați prezentarea activităților, așa cum a fost obținută de la London Borough of Hamme</w:t>
            </w:r>
            <w:bookmarkStart w:id="0" w:name="_GoBack"/>
            <w:bookmarkEnd w:id="0"/>
            <w:r w:rsidRPr="003E5DB1">
              <w:rPr>
                <w:lang w:val="ro-RO"/>
              </w:rPr>
              <w:t>rsmith and Fulham/The Royal Borough of Kensington and Chelsea</w:t>
            </w:r>
          </w:p>
        </w:tc>
      </w:tr>
      <w:tr w:rsidR="00696D3D" w:rsidRPr="003E5DB1" w:rsidTr="003E5DB1">
        <w:trPr>
          <w:trHeight w:val="1600"/>
        </w:trPr>
        <w:tc>
          <w:tcPr>
            <w:tcW w:w="1665" w:type="dxa"/>
          </w:tcPr>
          <w:p w:rsidR="00696D3D" w:rsidRPr="003E5DB1" w:rsidRDefault="003E5DB1">
            <w:pPr>
              <w:pStyle w:val="TableParagraph"/>
              <w:spacing w:before="4" w:line="247" w:lineRule="auto"/>
              <w:ind w:left="102" w:right="138"/>
              <w:jc w:val="both"/>
              <w:rPr>
                <w:b/>
                <w:i/>
                <w:lang w:val="ro-RO"/>
              </w:rPr>
            </w:pPr>
            <w:r w:rsidRPr="003E5DB1">
              <w:rPr>
                <w:b/>
                <w:i/>
                <w:lang w:val="ro-RO"/>
              </w:rPr>
              <w:t>Activităţi de combatere a stereotipurilor</w:t>
            </w:r>
          </w:p>
          <w:p w:rsidR="00696D3D" w:rsidRPr="003E5DB1" w:rsidRDefault="000D190B">
            <w:pPr>
              <w:pStyle w:val="TableParagraph"/>
              <w:spacing w:before="108"/>
              <w:ind w:left="102"/>
              <w:rPr>
                <w:i/>
                <w:lang w:val="ro-RO"/>
              </w:rPr>
            </w:pPr>
            <w:r w:rsidRPr="003E5DB1">
              <w:rPr>
                <w:i/>
                <w:lang w:val="ro-RO"/>
              </w:rPr>
              <w:t>(20-30</w:t>
            </w:r>
          </w:p>
          <w:p w:rsidR="00696D3D" w:rsidRPr="003E5DB1" w:rsidRDefault="000D190B">
            <w:pPr>
              <w:pStyle w:val="TableParagraph"/>
              <w:spacing w:before="8"/>
              <w:ind w:left="102"/>
              <w:rPr>
                <w:i/>
                <w:lang w:val="ro-RO"/>
              </w:rPr>
            </w:pPr>
            <w:r w:rsidRPr="003E5DB1">
              <w:rPr>
                <w:i/>
                <w:lang w:val="ro-RO"/>
              </w:rPr>
              <w:t>minutes)</w:t>
            </w:r>
          </w:p>
        </w:tc>
        <w:tc>
          <w:tcPr>
            <w:tcW w:w="7570" w:type="dxa"/>
          </w:tcPr>
          <w:p w:rsidR="00696D3D" w:rsidRPr="003E5DB1" w:rsidRDefault="003E5DB1">
            <w:pPr>
              <w:pStyle w:val="TableParagraph"/>
              <w:spacing w:before="4"/>
              <w:rPr>
                <w:lang w:val="ro-RO"/>
              </w:rPr>
            </w:pPr>
            <w:r w:rsidRPr="003E5DB1">
              <w:rPr>
                <w:lang w:val="ro-RO"/>
              </w:rPr>
              <w:t>Descărcați prezentarea activităților, așa cum a fost obținută de la Twinkl</w:t>
            </w:r>
          </w:p>
        </w:tc>
      </w:tr>
      <w:tr w:rsidR="003E5DB1" w:rsidRPr="003E5DB1" w:rsidTr="0012430B">
        <w:trPr>
          <w:trHeight w:val="1509"/>
        </w:trPr>
        <w:tc>
          <w:tcPr>
            <w:tcW w:w="1665" w:type="dxa"/>
          </w:tcPr>
          <w:p w:rsidR="003E5DB1" w:rsidRPr="003E5DB1" w:rsidRDefault="003E5DB1">
            <w:pPr>
              <w:pStyle w:val="TableParagraph"/>
              <w:spacing w:before="6"/>
              <w:ind w:left="102"/>
              <w:rPr>
                <w:b/>
                <w:i/>
                <w:lang w:val="ro-RO"/>
              </w:rPr>
            </w:pPr>
            <w:r w:rsidRPr="003E5DB1">
              <w:rPr>
                <w:b/>
                <w:i/>
                <w:lang w:val="ro-RO"/>
              </w:rPr>
              <w:t>Lectura şi discutarea cărţilor</w:t>
            </w:r>
          </w:p>
        </w:tc>
        <w:tc>
          <w:tcPr>
            <w:tcW w:w="7570" w:type="dxa"/>
            <w:tcBorders>
              <w:bottom w:val="single" w:sz="4" w:space="0" w:color="000000"/>
            </w:tcBorders>
          </w:tcPr>
          <w:p w:rsidR="003E5DB1" w:rsidRPr="003E5DB1" w:rsidRDefault="003E5DB1" w:rsidP="003E5DB1">
            <w:pPr>
              <w:pStyle w:val="TableParagraph"/>
              <w:spacing w:before="6"/>
              <w:rPr>
                <w:lang w:val="ro-RO"/>
              </w:rPr>
            </w:pPr>
            <w:r w:rsidRPr="003E5DB1">
              <w:rPr>
                <w:lang w:val="ro-RO"/>
              </w:rPr>
              <w:t>Luați în considerare anexele:</w:t>
            </w:r>
          </w:p>
          <w:p w:rsidR="003E5DB1" w:rsidRPr="003E5DB1" w:rsidRDefault="003E5DB1" w:rsidP="003E5DB1">
            <w:pPr>
              <w:pStyle w:val="TableParagraph"/>
              <w:spacing w:before="6"/>
              <w:rPr>
                <w:lang w:val="ro-RO"/>
              </w:rPr>
            </w:pPr>
            <w:r w:rsidRPr="003E5DB1">
              <w:rPr>
                <w:lang w:val="ro-RO"/>
              </w:rPr>
              <w:t>Anexa "Cum să vă alegeți cărțile" (elaborată de ZAT)</w:t>
            </w:r>
          </w:p>
          <w:p w:rsidR="003E5DB1" w:rsidRPr="003E5DB1" w:rsidRDefault="003E5DB1" w:rsidP="003E5DB1">
            <w:pPr>
              <w:pStyle w:val="TableParagraph"/>
              <w:spacing w:before="6"/>
              <w:rPr>
                <w:lang w:val="ro-RO"/>
              </w:rPr>
            </w:pPr>
            <w:r w:rsidRPr="003E5DB1">
              <w:rPr>
                <w:lang w:val="ro-RO"/>
              </w:rPr>
              <w:t>Anexa "Sfaturi de lectură" (elaborată de EuroED și Accesophia)</w:t>
            </w:r>
          </w:p>
          <w:p w:rsidR="003E5DB1" w:rsidRPr="003E5DB1" w:rsidRDefault="003E5DB1" w:rsidP="003E5DB1">
            <w:pPr>
              <w:pStyle w:val="TableParagraph"/>
              <w:spacing w:before="36" w:line="250" w:lineRule="exact"/>
              <w:rPr>
                <w:lang w:val="ro-RO"/>
              </w:rPr>
            </w:pPr>
            <w:r w:rsidRPr="003E5DB1">
              <w:rPr>
                <w:lang w:val="ro-RO"/>
              </w:rPr>
              <w:t>Lista de cărți WWS</w:t>
            </w:r>
          </w:p>
        </w:tc>
      </w:tr>
    </w:tbl>
    <w:p w:rsidR="000D190B" w:rsidRPr="003E5DB1" w:rsidRDefault="000D190B">
      <w:pPr>
        <w:rPr>
          <w:lang w:val="ro-RO"/>
        </w:rPr>
      </w:pPr>
    </w:p>
    <w:sectPr w:rsidR="000D190B" w:rsidRPr="003E5DB1">
      <w:pgSz w:w="12240" w:h="15840"/>
      <w:pgMar w:top="1380" w:right="1320" w:bottom="1740" w:left="1720" w:header="307"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0B" w:rsidRDefault="000D190B">
      <w:r>
        <w:separator/>
      </w:r>
    </w:p>
  </w:endnote>
  <w:endnote w:type="continuationSeparator" w:id="0">
    <w:p w:rsidR="000D190B" w:rsidRDefault="000D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3D" w:rsidRDefault="000D190B">
    <w:pPr>
      <w:pStyle w:val="BodyText"/>
      <w:spacing w:line="14" w:lineRule="auto"/>
      <w:rPr>
        <w:i w:val="0"/>
        <w:sz w:val="20"/>
      </w:rPr>
    </w:pPr>
    <w:r>
      <w:rPr>
        <w:noProof/>
      </w:rPr>
      <w:drawing>
        <wp:anchor distT="0" distB="0" distL="0" distR="0" simplePos="0" relativeHeight="251654144" behindDoc="1" locked="0" layoutInCell="1" allowOverlap="1">
          <wp:simplePos x="0" y="0"/>
          <wp:positionH relativeFrom="page">
            <wp:posOffset>598931</wp:posOffset>
          </wp:positionH>
          <wp:positionV relativeFrom="page">
            <wp:posOffset>9003792</wp:posOffset>
          </wp:positionV>
          <wp:extent cx="646175" cy="6446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46175" cy="644651"/>
                  </a:xfrm>
                  <a:prstGeom prst="rect">
                    <a:avLst/>
                  </a:prstGeom>
                </pic:spPr>
              </pic:pic>
            </a:graphicData>
          </a:graphic>
        </wp:anchor>
      </w:drawing>
    </w:r>
    <w:r>
      <w:rPr>
        <w:noProof/>
      </w:rPr>
      <w:drawing>
        <wp:anchor distT="0" distB="0" distL="0" distR="0" simplePos="0" relativeHeight="251655168" behindDoc="1" locked="0" layoutInCell="1" allowOverlap="1">
          <wp:simplePos x="0" y="0"/>
          <wp:positionH relativeFrom="page">
            <wp:posOffset>6263639</wp:posOffset>
          </wp:positionH>
          <wp:positionV relativeFrom="page">
            <wp:posOffset>8987028</wp:posOffset>
          </wp:positionV>
          <wp:extent cx="582167" cy="64465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582167" cy="644651"/>
                  </a:xfrm>
                  <a:prstGeom prst="rect">
                    <a:avLst/>
                  </a:prstGeom>
                </pic:spPr>
              </pic:pic>
            </a:graphicData>
          </a:graphic>
        </wp:anchor>
      </w:drawing>
    </w:r>
    <w:r>
      <w:rPr>
        <w:noProof/>
      </w:rPr>
      <w:drawing>
        <wp:anchor distT="0" distB="0" distL="0" distR="0" simplePos="0" relativeHeight="251658240" behindDoc="1" locked="0" layoutInCell="1" allowOverlap="1">
          <wp:simplePos x="0" y="0"/>
          <wp:positionH relativeFrom="page">
            <wp:posOffset>1473767</wp:posOffset>
          </wp:positionH>
          <wp:positionV relativeFrom="page">
            <wp:posOffset>9294002</wp:posOffset>
          </wp:positionV>
          <wp:extent cx="519309" cy="23603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 cstate="print"/>
                  <a:stretch>
                    <a:fillRect/>
                  </a:stretch>
                </pic:blipFill>
                <pic:spPr>
                  <a:xfrm>
                    <a:off x="0" y="0"/>
                    <a:ext cx="519309" cy="236037"/>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2441448</wp:posOffset>
          </wp:positionH>
          <wp:positionV relativeFrom="page">
            <wp:posOffset>9201911</wp:posOffset>
          </wp:positionV>
          <wp:extent cx="1031748" cy="30937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 cstate="print"/>
                  <a:stretch>
                    <a:fillRect/>
                  </a:stretch>
                </pic:blipFill>
                <pic:spPr>
                  <a:xfrm>
                    <a:off x="0" y="0"/>
                    <a:ext cx="1031748" cy="309371"/>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5254974</wp:posOffset>
          </wp:positionH>
          <wp:positionV relativeFrom="page">
            <wp:posOffset>9154940</wp:posOffset>
          </wp:positionV>
          <wp:extent cx="873653" cy="32637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873653" cy="326375"/>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3789752</wp:posOffset>
          </wp:positionH>
          <wp:positionV relativeFrom="page">
            <wp:posOffset>9263575</wp:posOffset>
          </wp:positionV>
          <wp:extent cx="374250" cy="195384"/>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6" cstate="print"/>
                  <a:stretch>
                    <a:fillRect/>
                  </a:stretch>
                </pic:blipFill>
                <pic:spPr>
                  <a:xfrm>
                    <a:off x="0" y="0"/>
                    <a:ext cx="374250" cy="195384"/>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4377631</wp:posOffset>
          </wp:positionH>
          <wp:positionV relativeFrom="page">
            <wp:posOffset>9265691</wp:posOffset>
          </wp:positionV>
          <wp:extent cx="718296" cy="187909"/>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7" cstate="print"/>
                  <a:stretch>
                    <a:fillRect/>
                  </a:stretch>
                </pic:blipFill>
                <pic:spPr>
                  <a:xfrm>
                    <a:off x="0" y="0"/>
                    <a:ext cx="718296" cy="18790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0.4pt;margin-top:699.9pt;width:10.45pt;height:12.9pt;z-index:-251654144;mso-position-horizontal-relative:page;mso-position-vertical-relative:page" filled="f" stroked="f">
          <v:textbox inset="0,0,0,0">
            <w:txbxContent>
              <w:p w:rsidR="00696D3D" w:rsidRDefault="000D190B">
                <w:pPr>
                  <w:pStyle w:val="BodyText"/>
                  <w:spacing w:before="41"/>
                  <w:ind w:left="60"/>
                </w:pPr>
                <w:r>
                  <w:fldChar w:fldCharType="begin"/>
                </w:r>
                <w:r>
                  <w:rPr>
                    <w:w w:val="99"/>
                  </w:rPr>
                  <w:instrText xml:space="preserve"> PAGE </w:instrText>
                </w:r>
                <w:r>
                  <w:fldChar w:fldCharType="separate"/>
                </w:r>
                <w:r w:rsidR="003E5DB1">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0B" w:rsidRDefault="000D190B">
      <w:r>
        <w:separator/>
      </w:r>
    </w:p>
  </w:footnote>
  <w:footnote w:type="continuationSeparator" w:id="0">
    <w:p w:rsidR="000D190B" w:rsidRDefault="000D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3D" w:rsidRDefault="000D190B">
    <w:pPr>
      <w:pStyle w:val="BodyText"/>
      <w:spacing w:line="14" w:lineRule="auto"/>
      <w:rPr>
        <w:i w:val="0"/>
        <w:sz w:val="20"/>
      </w:rPr>
    </w:pPr>
    <w:r>
      <w:rPr>
        <w:noProof/>
      </w:rPr>
      <w:drawing>
        <wp:anchor distT="0" distB="0" distL="0" distR="0" simplePos="0" relativeHeight="251650048" behindDoc="1" locked="0" layoutInCell="1" allowOverlap="1">
          <wp:simplePos x="0" y="0"/>
          <wp:positionH relativeFrom="page">
            <wp:posOffset>739139</wp:posOffset>
          </wp:positionH>
          <wp:positionV relativeFrom="page">
            <wp:posOffset>195071</wp:posOffset>
          </wp:positionV>
          <wp:extent cx="1106423" cy="53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6423" cy="533400"/>
                  </a:xfrm>
                  <a:prstGeom prst="rect">
                    <a:avLst/>
                  </a:prstGeom>
                </pic:spPr>
              </pic:pic>
            </a:graphicData>
          </a:graphic>
        </wp:anchor>
      </w:drawing>
    </w:r>
    <w:r>
      <w:rPr>
        <w:noProof/>
      </w:rPr>
      <w:drawing>
        <wp:anchor distT="0" distB="0" distL="0" distR="0" simplePos="0" relativeHeight="251652096" behindDoc="1" locked="0" layoutInCell="1" allowOverlap="1">
          <wp:simplePos x="0" y="0"/>
          <wp:positionH relativeFrom="page">
            <wp:posOffset>5325541</wp:posOffset>
          </wp:positionH>
          <wp:positionV relativeFrom="page">
            <wp:posOffset>346558</wp:posOffset>
          </wp:positionV>
          <wp:extent cx="1855149" cy="4125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55149" cy="41253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705E"/>
    <w:multiLevelType w:val="hybridMultilevel"/>
    <w:tmpl w:val="1FA43042"/>
    <w:lvl w:ilvl="0" w:tplc="BE8C707C">
      <w:numFmt w:val="bullet"/>
      <w:lvlText w:val="-"/>
      <w:lvlJc w:val="left"/>
      <w:pPr>
        <w:ind w:left="104" w:hanging="120"/>
      </w:pPr>
      <w:rPr>
        <w:rFonts w:ascii="Calibri" w:eastAsia="Calibri" w:hAnsi="Calibri" w:cs="Calibri" w:hint="default"/>
        <w:w w:val="102"/>
        <w:sz w:val="22"/>
        <w:szCs w:val="22"/>
        <w:lang w:val="en-US" w:eastAsia="en-US" w:bidi="ar-SA"/>
      </w:rPr>
    </w:lvl>
    <w:lvl w:ilvl="1" w:tplc="ADB8FFAA">
      <w:numFmt w:val="bullet"/>
      <w:lvlText w:val="•"/>
      <w:lvlJc w:val="left"/>
      <w:pPr>
        <w:ind w:left="846" w:hanging="120"/>
      </w:pPr>
      <w:rPr>
        <w:rFonts w:hint="default"/>
        <w:lang w:val="en-US" w:eastAsia="en-US" w:bidi="ar-SA"/>
      </w:rPr>
    </w:lvl>
    <w:lvl w:ilvl="2" w:tplc="A07C2A94">
      <w:numFmt w:val="bullet"/>
      <w:lvlText w:val="•"/>
      <w:lvlJc w:val="left"/>
      <w:pPr>
        <w:ind w:left="1592" w:hanging="120"/>
      </w:pPr>
      <w:rPr>
        <w:rFonts w:hint="default"/>
        <w:lang w:val="en-US" w:eastAsia="en-US" w:bidi="ar-SA"/>
      </w:rPr>
    </w:lvl>
    <w:lvl w:ilvl="3" w:tplc="BE927948">
      <w:numFmt w:val="bullet"/>
      <w:lvlText w:val="•"/>
      <w:lvlJc w:val="left"/>
      <w:pPr>
        <w:ind w:left="2338" w:hanging="120"/>
      </w:pPr>
      <w:rPr>
        <w:rFonts w:hint="default"/>
        <w:lang w:val="en-US" w:eastAsia="en-US" w:bidi="ar-SA"/>
      </w:rPr>
    </w:lvl>
    <w:lvl w:ilvl="4" w:tplc="472E163C">
      <w:numFmt w:val="bullet"/>
      <w:lvlText w:val="•"/>
      <w:lvlJc w:val="left"/>
      <w:pPr>
        <w:ind w:left="3084" w:hanging="120"/>
      </w:pPr>
      <w:rPr>
        <w:rFonts w:hint="default"/>
        <w:lang w:val="en-US" w:eastAsia="en-US" w:bidi="ar-SA"/>
      </w:rPr>
    </w:lvl>
    <w:lvl w:ilvl="5" w:tplc="60D2CEB2">
      <w:numFmt w:val="bullet"/>
      <w:lvlText w:val="•"/>
      <w:lvlJc w:val="left"/>
      <w:pPr>
        <w:ind w:left="3830" w:hanging="120"/>
      </w:pPr>
      <w:rPr>
        <w:rFonts w:hint="default"/>
        <w:lang w:val="en-US" w:eastAsia="en-US" w:bidi="ar-SA"/>
      </w:rPr>
    </w:lvl>
    <w:lvl w:ilvl="6" w:tplc="29085B0A">
      <w:numFmt w:val="bullet"/>
      <w:lvlText w:val="•"/>
      <w:lvlJc w:val="left"/>
      <w:pPr>
        <w:ind w:left="4576" w:hanging="120"/>
      </w:pPr>
      <w:rPr>
        <w:rFonts w:hint="default"/>
        <w:lang w:val="en-US" w:eastAsia="en-US" w:bidi="ar-SA"/>
      </w:rPr>
    </w:lvl>
    <w:lvl w:ilvl="7" w:tplc="1C58A004">
      <w:numFmt w:val="bullet"/>
      <w:lvlText w:val="•"/>
      <w:lvlJc w:val="left"/>
      <w:pPr>
        <w:ind w:left="5322" w:hanging="120"/>
      </w:pPr>
      <w:rPr>
        <w:rFonts w:hint="default"/>
        <w:lang w:val="en-US" w:eastAsia="en-US" w:bidi="ar-SA"/>
      </w:rPr>
    </w:lvl>
    <w:lvl w:ilvl="8" w:tplc="44E8FE40">
      <w:numFmt w:val="bullet"/>
      <w:lvlText w:val="•"/>
      <w:lvlJc w:val="left"/>
      <w:pPr>
        <w:ind w:left="6068" w:hanging="1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96D3D"/>
    <w:rsid w:val="000D190B"/>
    <w:rsid w:val="003E5DB1"/>
    <w:rsid w:val="0069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4EDB473-71BA-4F72-842C-71C38AD3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3E5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dn.teacherspayteachers.com/thumbitem/Back-to-School-%20Activity-The-Crayon-Box-That-Talked-1320435-1521641482/original-1320435-%202.jpg" TargetMode="External"/><Relationship Id="rId13" Type="http://schemas.openxmlformats.org/officeDocument/2006/relationships/hyperlink" Target="https://sidnithome.files.wordpress.com/2014/06/the-crayon-box-%20that-talked.jpg" TargetMode="External"/><Relationship Id="rId3" Type="http://schemas.openxmlformats.org/officeDocument/2006/relationships/settings" Target="settings.xml"/><Relationship Id="rId7" Type="http://schemas.openxmlformats.org/officeDocument/2006/relationships/hyperlink" Target="https://youtu.be/XIszzJvLr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dn.teacherspayteachers.com/thumbitem/The-Crayon-Box-%20That-Talked-Writing-Papers-1420665903/original-191830-2.jpg" TargetMode="External"/><Relationship Id="rId4" Type="http://schemas.openxmlformats.org/officeDocument/2006/relationships/webSettings" Target="webSettings.xml"/><Relationship Id="rId9" Type="http://schemas.openxmlformats.org/officeDocument/2006/relationships/hyperlink" Target="https://ecdn.teacherspayteachers.com/thumbitem/Back-to-School-%20Activity-The-Crayon-Box-That-Talked-1320435-1500067363/original-1320435-%203.jpg" TargetMode="External"/><Relationship Id="rId14" Type="http://schemas.openxmlformats.org/officeDocument/2006/relationships/hyperlink" Target="https://i.pinimg.com/564x/ed/5b/c1/ed5bc14b25d4b71648a14ef08123cd6a.jp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Group of activities 2 suggested</dc:title>
  <dc:creator>zorni</dc:creator>
  <cp:lastModifiedBy>Mihaela</cp:lastModifiedBy>
  <cp:revision>3</cp:revision>
  <dcterms:created xsi:type="dcterms:W3CDTF">2022-10-20T08:08:00Z</dcterms:created>
  <dcterms:modified xsi:type="dcterms:W3CDTF">2022-10-20T15:49:00Z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LastSaved">
    <vt:filetime>2022-10-20T00:00:00Z</vt:filetime>
  </property>
</Properties>
</file>